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</w:t>
      </w:r>
      <w:r w:rsidR="00FA4F89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 سال تحصیلی</w:t>
      </w:r>
      <w:r w:rsidR="00FA4F8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....</w:t>
      </w:r>
      <w:r w:rsidR="00FA4F89">
        <w:rPr>
          <w:rFonts w:ascii="IranNastaliq" w:hAnsi="IranNastaliq" w:cs="B Lotus" w:hint="cs"/>
          <w:sz w:val="28"/>
          <w:szCs w:val="28"/>
          <w:rtl/>
          <w:lang w:bidi="fa-IR"/>
        </w:rPr>
        <w:t>۹۹-۱۳۹۸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FA4F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FA4F89">
              <w:rPr>
                <w:rFonts w:ascii="IranNastaliq" w:hAnsi="IranNastaliq" w:cs="B Mitra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 w:rsidR="00FA4F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A4F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نقد عکس 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573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تاریخ عکاسی جهان۲</w:t>
            </w:r>
          </w:p>
        </w:tc>
        <w:tc>
          <w:tcPr>
            <w:tcW w:w="2972" w:type="dxa"/>
            <w:gridSpan w:val="2"/>
          </w:tcPr>
          <w:p w:rsidR="00B97D71" w:rsidRDefault="00301105" w:rsidP="00301105">
            <w:pPr>
              <w:tabs>
                <w:tab w:val="left" w:pos="390"/>
                <w:tab w:val="left" w:pos="1950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301105" w:rsidRPr="00301105" w:rsidRDefault="00301105" w:rsidP="00301105">
            <w:pPr>
              <w:tabs>
                <w:tab w:val="left" w:pos="390"/>
                <w:tab w:val="left" w:pos="1950"/>
                <w:tab w:val="right" w:pos="2756"/>
              </w:tabs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0110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Photograph</w:t>
            </w:r>
            <w:r w:rsidR="00B55FA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Pr="0030110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55FA4" w:rsidRPr="0030110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Critici</w:t>
            </w:r>
            <w:r w:rsidR="00B55FA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sm</w:t>
            </w:r>
            <w:r w:rsidR="00B55FA4" w:rsidRPr="0030110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30110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A4F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۳۱۵۳۵۳۹۵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FA4F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FA4F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FA4F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FA4F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9B0358" w:rsidP="009B0358">
            <w:pPr>
              <w:tabs>
                <w:tab w:val="left" w:pos="1020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9B0358">
              <w:rPr>
                <w:rFonts w:asciiTheme="majorBidi" w:hAnsiTheme="majorBidi" w:cstheme="majorBidi"/>
                <w:lang w:bidi="fa-IR"/>
              </w:rPr>
              <w:t>m.shabani@semnan.ac.ir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550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۱۵-۱۷، سمعی بصری۲</w:t>
            </w:r>
            <w:r w:rsidR="00E5504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550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28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اصول اولیه تجزیه، تحلیل و نقد عکس</w:t>
            </w:r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اندیشیدن و نوشتن درباره عکاسی، بخشی از مهارت های نظری است که دانشجویان باید کسب کنند.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 این درس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دانشجویان با تکیه بر متون موجود در این حوزه، نخست با مفهوم نقد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هنری و انواع آنها آشنا می شوند و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سپس</w:t>
            </w:r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از ط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</w:t>
            </w:r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یق شناخت مفاهیم بنیادین این رسانه و گونه های متفاوت عکاسی، چگونگی نقد هنری را بررسی می </w:t>
            </w:r>
            <w:proofErr w:type="spellStart"/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کنند.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طی</w:t>
            </w:r>
            <w:proofErr w:type="spellEnd"/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این کلاس،</w:t>
            </w:r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ابتدا </w:t>
            </w:r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نقد تصاویر عکاسی از مرحله توصیف تا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مراحل بعدی</w:t>
            </w:r>
            <w:r w:rsidR="00832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تفسیر، ارزیابی و نظریه پردازی بررسی می شود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716B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گام بعدی، دانشجویان با توجه به مباحث طرح شده، کار نوشتن نقد را آغاز می کنند. طرح نوشته های دانشجویان در کلاس و نقد ای</w:t>
            </w:r>
            <w:r w:rsidR="009329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</w:t>
            </w:r>
            <w:r w:rsidR="00716B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نوشته ها، بخش دیگری از روند آموزشی این درس محسوب می شود.</w:t>
            </w:r>
            <w:r w:rsidR="0083288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.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550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28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کلاس مجهز به </w:t>
            </w:r>
            <w:r w:rsidR="00E550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کامپیوتر و ویدئو </w:t>
            </w:r>
            <w:proofErr w:type="spellStart"/>
            <w:r w:rsidR="00E550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پروژکتور</w:t>
            </w:r>
            <w:proofErr w:type="spellEnd"/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01C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۶۰٪</w:t>
            </w:r>
          </w:p>
        </w:tc>
        <w:tc>
          <w:tcPr>
            <w:tcW w:w="1530" w:type="dxa"/>
          </w:tcPr>
          <w:p w:rsidR="007A6B1B" w:rsidRPr="00FE7024" w:rsidRDefault="00701C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2070" w:type="dxa"/>
            <w:gridSpan w:val="2"/>
          </w:tcPr>
          <w:p w:rsidR="007A6B1B" w:rsidRPr="00FE7024" w:rsidRDefault="00701C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۱۰٪</w:t>
            </w:r>
          </w:p>
        </w:tc>
        <w:tc>
          <w:tcPr>
            <w:tcW w:w="3510" w:type="dxa"/>
            <w:gridSpan w:val="2"/>
          </w:tcPr>
          <w:p w:rsidR="007A6B1B" w:rsidRPr="00FE7024" w:rsidRDefault="00701C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۱۰٪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B55B7C" w:rsidRDefault="00B55B7C" w:rsidP="00DA2876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proofErr w:type="spellStart"/>
            <w:r w:rsidR="00DA287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برت</w:t>
            </w:r>
            <w:proofErr w:type="spellEnd"/>
            <w:r w:rsidR="00DA287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تری. نقد عکس(درآمدی بر درک تصویر).ترجمه: اسماعیل عباسی و کاوه </w:t>
            </w:r>
            <w:proofErr w:type="spellStart"/>
            <w:r w:rsidR="00DA287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میرعباسی</w:t>
            </w:r>
            <w:proofErr w:type="spellEnd"/>
            <w:r w:rsidR="00DA287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تهران:</w:t>
            </w:r>
            <w:r w:rsidR="00DA287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نشر مرکز، ۱۳۸۰.  </w:t>
            </w:r>
          </w:p>
          <w:p w:rsidR="00C1549F" w:rsidRDefault="00B55B7C" w:rsidP="00DA2876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سارکوفسکی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جان. نگاهی به عکس ها.</w:t>
            </w:r>
            <w:r w:rsidR="008C10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ترجمه: فرشید آذرنگ، تهران: انتشارات سمت، ۱۳۸۲.</w:t>
            </w:r>
            <w:r w:rsidR="008C1096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r w:rsidR="00524DCB">
              <w:rPr>
                <w:rFonts w:ascii="IranNastaliq" w:hAnsi="IranNastaliq" w:cs="B Nazanin"/>
                <w:sz w:val="24"/>
                <w:szCs w:val="24"/>
                <w:lang w:bidi="fa-IR"/>
              </w:rPr>
              <w:t>-</w:t>
            </w:r>
          </w:p>
          <w:p w:rsidR="00B55B7C" w:rsidRDefault="00B55B7C" w:rsidP="00B55B7C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 w:rsidR="008C10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جی، بیل و </w:t>
            </w:r>
            <w:proofErr w:type="spellStart"/>
            <w:r w:rsidR="008C10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هورن</w:t>
            </w:r>
            <w:proofErr w:type="spellEnd"/>
            <w:r w:rsidR="008C10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دیوید. درباره نگاه به عکس ها. </w:t>
            </w:r>
            <w:r w:rsidR="008C10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ترجمه محسن </w:t>
            </w:r>
            <w:proofErr w:type="spellStart"/>
            <w:r w:rsidR="008C10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بایرامی</w:t>
            </w:r>
            <w:proofErr w:type="spellEnd"/>
            <w:r w:rsidR="008C10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نژاد، تهران: انتشارات حرفه هنرمند، ۱۳۸۸.</w:t>
            </w:r>
          </w:p>
          <w:p w:rsidR="00B55B7C" w:rsidRDefault="00B55B7C" w:rsidP="00B55B7C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مورا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ژیل. کلمات عکاسی</w:t>
            </w:r>
            <w:r w:rsidR="008C10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</w:t>
            </w:r>
            <w:bookmarkStart w:id="0" w:name="_GoBack"/>
            <w:bookmarkEnd w:id="0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ترجمه:حسن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خوبدل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کریم متقی، تهران: انتشارات حرفه نویسنده، ۱۳۹۰.</w:t>
            </w:r>
            <w:r w:rsidR="00524DCB">
              <w:rPr>
                <w:rFonts w:ascii="IranNastaliq" w:hAnsi="IranNastaliq" w:cs="B Nazanin"/>
                <w:sz w:val="24"/>
                <w:szCs w:val="24"/>
                <w:lang w:bidi="fa-IR"/>
              </w:rPr>
              <w:t>-</w:t>
            </w:r>
          </w:p>
          <w:p w:rsidR="00594E1A" w:rsidRPr="004B094A" w:rsidRDefault="00594E1A" w:rsidP="00DA2876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جانسن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چارلز. ت</w:t>
            </w:r>
            <w:r w:rsidR="00BC324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زیه و تحلیل آثار هنرهای تجسمی. ترجمه: پتی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آواکیان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 w:rsidR="00B55B7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تهران: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انتشارات سمت، ۱۳۹۰.</w:t>
            </w:r>
            <w:r w:rsidR="00524DCB">
              <w:rPr>
                <w:rFonts w:ascii="IranNastaliq" w:hAnsi="IranNastaliq" w:cs="B Nazanin"/>
                <w:sz w:val="24"/>
                <w:szCs w:val="24"/>
                <w:lang w:bidi="fa-IR"/>
              </w:rPr>
              <w:t>-</w:t>
            </w:r>
          </w:p>
          <w:p w:rsidR="00C1549F" w:rsidRDefault="00524DCB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  <w:r w:rsidR="000300B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Basic Critical Theory for photographers, Ashley la </w:t>
            </w:r>
            <w:proofErr w:type="spellStart"/>
            <w:r w:rsidR="000300B4">
              <w:rPr>
                <w:rFonts w:ascii="IranNastaliq" w:hAnsi="IranNastaliq" w:cs="B Mitra"/>
                <w:sz w:val="24"/>
                <w:szCs w:val="24"/>
                <w:lang w:bidi="fa-IR"/>
              </w:rPr>
              <w:t>Grangr</w:t>
            </w:r>
            <w:proofErr w:type="spellEnd"/>
            <w:r w:rsidR="000300B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, Focal Press </w:t>
            </w:r>
            <w:proofErr w:type="spellStart"/>
            <w:r w:rsidR="000300B4">
              <w:rPr>
                <w:rFonts w:ascii="IranNastaliq" w:hAnsi="IranNastaliq" w:cs="B Mitra"/>
                <w:sz w:val="24"/>
                <w:szCs w:val="24"/>
                <w:lang w:bidi="fa-IR"/>
              </w:rPr>
              <w:t>Ppublication</w:t>
            </w:r>
            <w:proofErr w:type="spellEnd"/>
            <w:r w:rsidR="000300B4">
              <w:rPr>
                <w:rFonts w:ascii="IranNastaliq" w:hAnsi="IranNastaliq" w:cs="B Mitra"/>
                <w:sz w:val="24"/>
                <w:szCs w:val="24"/>
                <w:lang w:bidi="fa-IR"/>
              </w:rPr>
              <w:t>, 2005</w:t>
            </w:r>
            <w:r w:rsidR="000D73CB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  <w:p w:rsidR="000D73CB" w:rsidRDefault="00524DCB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  <w:r w:rsidR="000D73CB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Photography Theory(the art seminar), James Elkins, </w:t>
            </w:r>
            <w:proofErr w:type="spellStart"/>
            <w:r w:rsidR="000D73CB">
              <w:rPr>
                <w:rFonts w:ascii="IranNastaliq" w:hAnsi="IranNastaliq" w:cs="B Mitra"/>
                <w:sz w:val="24"/>
                <w:szCs w:val="24"/>
                <w:lang w:bidi="fa-IR"/>
              </w:rPr>
              <w:t>Routledger</w:t>
            </w:r>
            <w:proofErr w:type="spellEnd"/>
            <w:r w:rsidR="000D73CB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New Ed, 2006.</w:t>
            </w:r>
          </w:p>
          <w:p w:rsidR="000D73CB" w:rsidRPr="004B094A" w:rsidRDefault="00524DCB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  <w:r w:rsidR="000D73CB">
              <w:rPr>
                <w:rFonts w:ascii="IranNastaliq" w:hAnsi="IranNastaliq" w:cs="B Mitra"/>
                <w:sz w:val="24"/>
                <w:szCs w:val="24"/>
                <w:lang w:bidi="fa-IR"/>
              </w:rPr>
              <w:t>The Photograph as Contemporary Art, Charlotte Cotton, Tames&amp; Hudson,2009.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136F0" w:rsidP="008136F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تعریف نقد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136F0" w:rsidP="00817FC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اصول و معیارهای تجزیه، تحلیل و نقد عکس از نظر عکسبرداری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4CBE" w:rsidP="00817FC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اصول و معیارهای تجزیه، تحلیل و نقد عکس از نظر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ظهور و چاپ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4CBE" w:rsidP="00817FC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اصول و معیارهای تجزیه، تحلیل و نقد عکس از نظر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قدرت بیان مطلب و انتقال پیام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757A" w:rsidP="00817FC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اصول و معیارهای تجزیه، تحلیل و نقد عکس از نظر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چگونگی ترکیب بندی</w:t>
            </w:r>
            <w:r w:rsidR="009445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عناصر بصری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445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اصول و معیارهای تجزیه، تحلیل و نقد عکس از نظر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زوایا و کادر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445B5" w:rsidP="00817FC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انواع نقد و خوانش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17FC9" w:rsidP="00817FC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دسته بندی عکس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17FC9" w:rsidP="00817FC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چگونگی ت</w:t>
            </w:r>
            <w:r w:rsidR="008661A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وصیف عکس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661A0" w:rsidP="008661A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 و نمایش تصاویر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661A0" w:rsidP="008661A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چگونگی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</w:t>
            </w:r>
            <w:r w:rsidR="00B563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تفسیر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عکس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661A0" w:rsidP="008661A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 و نمایش تصاویر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661A0" w:rsidP="008661A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چگونگی ارزیابی</w:t>
            </w:r>
            <w:r w:rsidR="00B563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داوری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عکس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661A0" w:rsidTr="00FE7024">
        <w:trPr>
          <w:trHeight w:val="269"/>
          <w:jc w:val="center"/>
        </w:trPr>
        <w:tc>
          <w:tcPr>
            <w:tcW w:w="1975" w:type="dxa"/>
          </w:tcPr>
          <w:p w:rsidR="008661A0" w:rsidRPr="00FE7024" w:rsidRDefault="008661A0" w:rsidP="008661A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61A0" w:rsidRPr="00FE7024" w:rsidRDefault="008661A0" w:rsidP="008661A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 و نمایش تصاویر</w:t>
            </w:r>
          </w:p>
        </w:tc>
        <w:tc>
          <w:tcPr>
            <w:tcW w:w="1078" w:type="dxa"/>
          </w:tcPr>
          <w:p w:rsidR="008661A0" w:rsidRPr="00E32E53" w:rsidRDefault="008661A0" w:rsidP="008661A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661A0" w:rsidTr="00FE7024">
        <w:trPr>
          <w:trHeight w:val="197"/>
          <w:jc w:val="center"/>
        </w:trPr>
        <w:tc>
          <w:tcPr>
            <w:tcW w:w="1975" w:type="dxa"/>
          </w:tcPr>
          <w:p w:rsidR="008661A0" w:rsidRPr="00FE7024" w:rsidRDefault="008661A0" w:rsidP="008661A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61A0" w:rsidRPr="00FE7024" w:rsidRDefault="008661A0" w:rsidP="008661A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تمرینات نگارشی</w:t>
            </w:r>
            <w:r w:rsidR="00B563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نقد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توسط دانشجو در موارد ذکر شده</w:t>
            </w:r>
          </w:p>
        </w:tc>
        <w:tc>
          <w:tcPr>
            <w:tcW w:w="1078" w:type="dxa"/>
          </w:tcPr>
          <w:p w:rsidR="008661A0" w:rsidRPr="00E32E53" w:rsidRDefault="008661A0" w:rsidP="008661A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563D9" w:rsidTr="00FE7024">
        <w:trPr>
          <w:trHeight w:val="206"/>
          <w:jc w:val="center"/>
        </w:trPr>
        <w:tc>
          <w:tcPr>
            <w:tcW w:w="1975" w:type="dxa"/>
          </w:tcPr>
          <w:p w:rsidR="00B563D9" w:rsidRPr="00FE7024" w:rsidRDefault="00B563D9" w:rsidP="00B563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563D9" w:rsidRPr="00FE7024" w:rsidRDefault="00B563D9" w:rsidP="00B563D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تمرینات نگارشی نقد توسط دانشجو در موارد ذکر شده</w:t>
            </w:r>
          </w:p>
        </w:tc>
        <w:tc>
          <w:tcPr>
            <w:tcW w:w="1078" w:type="dxa"/>
          </w:tcPr>
          <w:p w:rsidR="00B563D9" w:rsidRPr="00E32E53" w:rsidRDefault="00B563D9" w:rsidP="00B563D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F6D" w:rsidRDefault="00CB4F6D" w:rsidP="0007479E">
      <w:pPr>
        <w:spacing w:after="0" w:line="240" w:lineRule="auto"/>
      </w:pPr>
      <w:r>
        <w:separator/>
      </w:r>
    </w:p>
  </w:endnote>
  <w:endnote w:type="continuationSeparator" w:id="0">
    <w:p w:rsidR="00CB4F6D" w:rsidRDefault="00CB4F6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F6D" w:rsidRDefault="00CB4F6D" w:rsidP="0007479E">
      <w:pPr>
        <w:spacing w:after="0" w:line="240" w:lineRule="auto"/>
      </w:pPr>
      <w:r>
        <w:separator/>
      </w:r>
    </w:p>
  </w:footnote>
  <w:footnote w:type="continuationSeparator" w:id="0">
    <w:p w:rsidR="00CB4F6D" w:rsidRDefault="00CB4F6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300B4"/>
    <w:rsid w:val="00043444"/>
    <w:rsid w:val="00047D53"/>
    <w:rsid w:val="0007479E"/>
    <w:rsid w:val="000D73CB"/>
    <w:rsid w:val="001A24D7"/>
    <w:rsid w:val="0023366D"/>
    <w:rsid w:val="00301105"/>
    <w:rsid w:val="00321206"/>
    <w:rsid w:val="003D23C3"/>
    <w:rsid w:val="00474CBE"/>
    <w:rsid w:val="004B094A"/>
    <w:rsid w:val="004C0E17"/>
    <w:rsid w:val="00524DCB"/>
    <w:rsid w:val="005908E6"/>
    <w:rsid w:val="00594E1A"/>
    <w:rsid w:val="005B71F9"/>
    <w:rsid w:val="006261B7"/>
    <w:rsid w:val="006B0268"/>
    <w:rsid w:val="006B3CAE"/>
    <w:rsid w:val="00701CD5"/>
    <w:rsid w:val="00716B34"/>
    <w:rsid w:val="00735053"/>
    <w:rsid w:val="007367C0"/>
    <w:rsid w:val="00743C43"/>
    <w:rsid w:val="007A6B1B"/>
    <w:rsid w:val="008136F0"/>
    <w:rsid w:val="00817FC9"/>
    <w:rsid w:val="0083288A"/>
    <w:rsid w:val="008661A0"/>
    <w:rsid w:val="00891C14"/>
    <w:rsid w:val="008C1096"/>
    <w:rsid w:val="008D2DEA"/>
    <w:rsid w:val="0093292A"/>
    <w:rsid w:val="009445B5"/>
    <w:rsid w:val="009B0358"/>
    <w:rsid w:val="00B55B7C"/>
    <w:rsid w:val="00B55FA4"/>
    <w:rsid w:val="00B563D9"/>
    <w:rsid w:val="00B5733A"/>
    <w:rsid w:val="00B6757A"/>
    <w:rsid w:val="00B97D71"/>
    <w:rsid w:val="00BC3241"/>
    <w:rsid w:val="00BE73D7"/>
    <w:rsid w:val="00C1549F"/>
    <w:rsid w:val="00C84F12"/>
    <w:rsid w:val="00CB4F6D"/>
    <w:rsid w:val="00DA2876"/>
    <w:rsid w:val="00E00030"/>
    <w:rsid w:val="00E13C35"/>
    <w:rsid w:val="00E31D17"/>
    <w:rsid w:val="00E32E53"/>
    <w:rsid w:val="00E5504C"/>
    <w:rsid w:val="00FA3054"/>
    <w:rsid w:val="00FA4F8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763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27</cp:revision>
  <cp:lastPrinted>2018-12-27T12:18:00Z</cp:lastPrinted>
  <dcterms:created xsi:type="dcterms:W3CDTF">2020-02-27T18:36:00Z</dcterms:created>
  <dcterms:modified xsi:type="dcterms:W3CDTF">2020-02-27T19:42:00Z</dcterms:modified>
</cp:coreProperties>
</file>