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</w:t>
      </w:r>
      <w:r w:rsidR="00852A62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proofErr w:type="spellStart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proofErr w:type="spellEnd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اول/ سال تحصیلی</w:t>
      </w:r>
      <w:r w:rsidR="00852A62">
        <w:rPr>
          <w:rFonts w:ascii="IranNastaliq" w:hAnsi="IranNastaliq" w:cs="B Lotus" w:hint="cs"/>
          <w:sz w:val="28"/>
          <w:szCs w:val="28"/>
          <w:rtl/>
          <w:lang w:bidi="fa-IR"/>
        </w:rPr>
        <w:t>۹۹-۱۳۹۸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bookmarkStart w:id="0" w:name="_GoBack"/>
            <w:bookmarkEnd w:id="0"/>
            <w:r w:rsidR="001A24D7" w:rsidRPr="002C2F2A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</w:t>
            </w:r>
            <w:r w:rsidR="00852A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۲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52A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هنرهای چند رسانه ای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proofErr w:type="spellStart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proofErr w:type="spellEnd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B4F7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B97D71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852A62" w:rsidRPr="00852A62" w:rsidRDefault="00852A62" w:rsidP="00852A62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852A62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Multi Media Arts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2B4F7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۳۱۵۳۵۳۹۵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B4F7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2B4F7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مهناز</w:t>
            </w:r>
            <w:proofErr w:type="spellEnd"/>
            <w:r w:rsidR="002B4F7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2B4F7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شعبانی</w:t>
            </w:r>
            <w:proofErr w:type="spellEnd"/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2B4F7E" w:rsidRDefault="002B4F7E" w:rsidP="002B4F7E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9B0358">
              <w:rPr>
                <w:rFonts w:asciiTheme="majorBidi" w:hAnsiTheme="majorBidi" w:cstheme="majorBidi"/>
                <w:lang w:bidi="fa-IR"/>
              </w:rPr>
              <w:t>m.shabani@semnan.ac.ir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7305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سه شنبه، </w:t>
            </w:r>
            <w:proofErr w:type="spellStart"/>
            <w:r w:rsidR="007305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آتلیه</w:t>
            </w:r>
            <w:proofErr w:type="spellEnd"/>
            <w:r w:rsidR="007305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عکاسی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7305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با انواع امکانات بیانی هنر جدید به ویژه در حوزه هنر دیجیتال.</w:t>
            </w:r>
            <w:r w:rsidR="0020468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 این کارگاه دانشجویان شیوه های نوین هنری را که بیشتر  دوربین محور هستند اما خارج از </w:t>
            </w:r>
            <w:proofErr w:type="spellStart"/>
            <w:r w:rsidR="0020468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سننت</w:t>
            </w:r>
            <w:proofErr w:type="spellEnd"/>
            <w:r w:rsidR="0020468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مرسوم عکاسی قرار می گیرند، تجربه می کنند. دانشجویان همزمان با آشنایی با آثار هنرمندان عرصه چند رسانه ای، ایده ها و تجربیات عملی </w:t>
            </w:r>
            <w:proofErr w:type="spellStart"/>
            <w:r w:rsidR="0020468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نواورانه</w:t>
            </w:r>
            <w:proofErr w:type="spellEnd"/>
            <w:r w:rsidR="0020468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ای در زمینه چیدمان ، هنر ویدئو، هنر دیجیتال، هنر تعاملی و سایر هنرهای چند رسانه ای انجام می دهند و در عین حال با درونمایه های مطرح در حوزه هنرهای جدید و از جمله بازنمایی زمان و مکان، جهانی سازی و هنرهای فضای مجازی آشنا می شوند. 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7305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با تجهیزات ویدئو </w:t>
            </w:r>
            <w:proofErr w:type="spellStart"/>
            <w:r w:rsidR="007305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پروجکشن</w:t>
            </w:r>
            <w:proofErr w:type="spellEnd"/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F33D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۶۰٪</w:t>
            </w:r>
          </w:p>
        </w:tc>
        <w:tc>
          <w:tcPr>
            <w:tcW w:w="1530" w:type="dxa"/>
          </w:tcPr>
          <w:p w:rsidR="007A6B1B" w:rsidRPr="00FE7024" w:rsidRDefault="005F33D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۲۰٪</w:t>
            </w:r>
          </w:p>
        </w:tc>
        <w:tc>
          <w:tcPr>
            <w:tcW w:w="2070" w:type="dxa"/>
            <w:gridSpan w:val="2"/>
          </w:tcPr>
          <w:p w:rsidR="007A6B1B" w:rsidRPr="00FE7024" w:rsidRDefault="005F33D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5F33D5" w:rsidP="005F33D5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۲۰٪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6C3E90" w:rsidP="006C3E90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وندز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بروس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. هنر در عصر دیجیتال،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ترجمه:مهدی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مقیم نژاد و محمدعلی مقصودی،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تهران:انتشارات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سوره مهر،۱۳۹۴.</w:t>
            </w:r>
          </w:p>
          <w:p w:rsidR="00660152" w:rsidRDefault="00660152" w:rsidP="006C3E90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اسماگولا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هواردجی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. گرایش های معاصر در هنرهای بصری،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ترجمه:فرهاد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غبرائی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تهران: دفتر پژوهش های فرهنگی تهران،۱۳۸۱.</w:t>
            </w:r>
          </w:p>
          <w:p w:rsidR="008A52A1" w:rsidRDefault="008A52A1" w:rsidP="006C3E90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سمیع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آذر،علیرضا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 انقلاب مفهومی، تهران: انتشارات نظر،۱۳۹۲.</w:t>
            </w:r>
          </w:p>
          <w:p w:rsidR="00610ECF" w:rsidRDefault="00610ECF" w:rsidP="006C3E90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آرچر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مایکل. هنر بعد از ۱۹۶۰، ترجمه: کتایون یوسفی، تهران: انتشارات حرفه هنرمند، ۱۳۹۴.</w:t>
            </w:r>
          </w:p>
          <w:p w:rsidR="00546116" w:rsidRDefault="00546116" w:rsidP="006C3E90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استالابراس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جولیان. هنر معاصر، ترجمه: احمدرضا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تقا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تهران: انتشارات ماهی، ۱۳۹۲.</w:t>
            </w:r>
          </w:p>
          <w:p w:rsidR="005A142D" w:rsidRDefault="005A142D" w:rsidP="006C3E90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راش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مایکل. رسانه های نوین در هنر قرن بیستم، ترجمه: بیتا روشنی، تهران: نشر نظر، ۱۳۹۳.</w:t>
            </w:r>
          </w:p>
          <w:p w:rsidR="0062735E" w:rsidRDefault="0062735E" w:rsidP="006C3E90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فریلند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سینتیا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. اما آیا این هنر است؟، ترجمه: کامران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سپهران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تهران: نشر مرکز، ۱۳۸۳.</w:t>
            </w:r>
          </w:p>
          <w:p w:rsidR="00C933C6" w:rsidRDefault="00C933C6" w:rsidP="006C3E90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لوسی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اسمیت، ادوارد. مفاهیم و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رویکردها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آخرین جنبش های هنری قرن بیستم، تهران: نشر نظر، ۱۳۸۲.</w:t>
            </w:r>
          </w:p>
          <w:p w:rsidR="00B25695" w:rsidRPr="00D13E1F" w:rsidRDefault="00B25695" w:rsidP="00B25695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Barzel</w:t>
            </w:r>
            <w:proofErr w:type="spellEnd"/>
            <w:r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Amnon. Light Art,</w:t>
            </w:r>
            <w:r w:rsidR="002F2F5B"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Milan:Skira</w:t>
            </w:r>
            <w:proofErr w:type="spellEnd"/>
            <w:r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Press</w:t>
            </w:r>
            <w:r w:rsidR="00A14193"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</w:t>
            </w:r>
            <w:r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(2005)</w:t>
            </w:r>
            <w:r w:rsidR="00A14193"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2F2F5B" w:rsidRPr="00D13E1F" w:rsidRDefault="002F2F5B" w:rsidP="00B25695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Klotz, Heinrich. Contemporary Art, New York: Prestel</w:t>
            </w:r>
            <w:r w:rsidR="00A14193"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</w:t>
            </w:r>
            <w:r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(1997)</w:t>
            </w:r>
            <w:r w:rsidR="00A14193"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B326E1" w:rsidRPr="00D13E1F" w:rsidRDefault="00B326E1" w:rsidP="00B25695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Martin, Silvia. Video Art, </w:t>
            </w:r>
            <w:proofErr w:type="spellStart"/>
            <w:r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Koln:Taschen</w:t>
            </w:r>
            <w:proofErr w:type="spellEnd"/>
            <w:r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,(2006)</w:t>
            </w:r>
          </w:p>
          <w:p w:rsidR="00B326E1" w:rsidRPr="00D13E1F" w:rsidRDefault="00B326E1" w:rsidP="00B25695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Rush, Michael. Video </w:t>
            </w:r>
            <w:r w:rsidR="00BA4CCA"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</w:t>
            </w:r>
            <w:r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rt, London:</w:t>
            </w:r>
            <w:r w:rsidR="00BA4CCA"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Thames&amp; Hudson,(2003).</w:t>
            </w:r>
          </w:p>
          <w:p w:rsidR="00592AF6" w:rsidRPr="00D13E1F" w:rsidRDefault="00592AF6" w:rsidP="00B25695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Shwarz</w:t>
            </w:r>
            <w:proofErr w:type="spellEnd"/>
            <w:r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Jans</w:t>
            </w:r>
            <w:proofErr w:type="spellEnd"/>
            <w:r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-Peter. Media Art History, New </w:t>
            </w:r>
            <w:proofErr w:type="spellStart"/>
            <w:r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York:Prestel</w:t>
            </w:r>
            <w:proofErr w:type="spellEnd"/>
            <w:r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,(1997).</w:t>
            </w:r>
          </w:p>
          <w:p w:rsidR="00592AF6" w:rsidRPr="00D13E1F" w:rsidRDefault="00592AF6" w:rsidP="00B25695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Wands, Bruce. Art of the Digital Age, Thames&amp; Hudson,(2006).</w:t>
            </w:r>
          </w:p>
          <w:p w:rsidR="009E24E7" w:rsidRDefault="00BA4CCA" w:rsidP="00B25695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proofErr w:type="spellStart"/>
            <w:r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Mirzoef</w:t>
            </w:r>
            <w:proofErr w:type="spellEnd"/>
            <w:r w:rsidRPr="00D13E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Nicholas, An Introduction to Visual Culture, London and New York: Routledge,(1999).</w:t>
            </w:r>
          </w:p>
          <w:p w:rsidR="00D13E1F" w:rsidRPr="004B094A" w:rsidRDefault="00D13E1F" w:rsidP="00B25695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D13E1F" w:rsidRDefault="00D13E1F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D13E1F" w:rsidRDefault="00D13E1F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D13E1F" w:rsidRDefault="00D13E1F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D13E1F" w:rsidRPr="006B0268" w:rsidRDefault="00D13E1F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9E24E7" w:rsidP="009E24E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تاریخچه هنرهای چند رسانه ای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01DBC" w:rsidRPr="00FE7024" w:rsidRDefault="00C01DBC" w:rsidP="00C01DB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دسته بندی هنرمندان مطرح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01DBC" w:rsidP="00C01DB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هنرهای دیجیتال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01DBC" w:rsidP="00C01DB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و نمایش آثار هنرمندان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F53B7" w:rsidP="007F53B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تصویرپردازی دیجیتال در حوزه عکاسی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42FA9" w:rsidP="00942FA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درآمیزی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رسانه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42FA9" w:rsidP="00942FA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بازنمایی هنر خارج از چارچوب سنتی تصویر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B15BF" w:rsidTr="006B3CAE">
        <w:trPr>
          <w:trHeight w:val="197"/>
          <w:jc w:val="center"/>
        </w:trPr>
        <w:tc>
          <w:tcPr>
            <w:tcW w:w="1975" w:type="dxa"/>
          </w:tcPr>
          <w:p w:rsidR="00EB15BF" w:rsidRPr="00FE7024" w:rsidRDefault="00EB15BF" w:rsidP="00EB15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B15BF" w:rsidRPr="00FE7024" w:rsidRDefault="00EB15BF" w:rsidP="00EB15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و نمایش آثار هنرمندان</w:t>
            </w:r>
          </w:p>
        </w:tc>
        <w:tc>
          <w:tcPr>
            <w:tcW w:w="1078" w:type="dxa"/>
          </w:tcPr>
          <w:p w:rsidR="00EB15BF" w:rsidRPr="00E32E53" w:rsidRDefault="00EB15BF" w:rsidP="00EB15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B15BF" w:rsidTr="006B3CAE">
        <w:trPr>
          <w:trHeight w:val="188"/>
          <w:jc w:val="center"/>
        </w:trPr>
        <w:tc>
          <w:tcPr>
            <w:tcW w:w="1975" w:type="dxa"/>
          </w:tcPr>
          <w:p w:rsidR="00EB15BF" w:rsidRPr="00FE7024" w:rsidRDefault="00EB15BF" w:rsidP="00EB15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B15BF" w:rsidRPr="00FE7024" w:rsidRDefault="00EB15BF" w:rsidP="00EB15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هنرهای چند رسانه ای و جهانی سازی</w:t>
            </w:r>
          </w:p>
        </w:tc>
        <w:tc>
          <w:tcPr>
            <w:tcW w:w="1078" w:type="dxa"/>
          </w:tcPr>
          <w:p w:rsidR="00EB15BF" w:rsidRPr="00E32E53" w:rsidRDefault="00EB15BF" w:rsidP="00EB15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B15BF" w:rsidTr="006B3CAE">
        <w:trPr>
          <w:trHeight w:val="206"/>
          <w:jc w:val="center"/>
        </w:trPr>
        <w:tc>
          <w:tcPr>
            <w:tcW w:w="1975" w:type="dxa"/>
          </w:tcPr>
          <w:p w:rsidR="00EB15BF" w:rsidRPr="00FE7024" w:rsidRDefault="00EB15BF" w:rsidP="00EB15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B15BF" w:rsidRPr="00FE7024" w:rsidRDefault="00EB15BF" w:rsidP="00EB15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بازنمایی در فضای مجازی</w:t>
            </w:r>
          </w:p>
        </w:tc>
        <w:tc>
          <w:tcPr>
            <w:tcW w:w="1078" w:type="dxa"/>
          </w:tcPr>
          <w:p w:rsidR="00EB15BF" w:rsidRPr="00E32E53" w:rsidRDefault="00EB15BF" w:rsidP="00EB15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B15BF" w:rsidTr="00FE7024">
        <w:trPr>
          <w:trHeight w:val="224"/>
          <w:jc w:val="center"/>
        </w:trPr>
        <w:tc>
          <w:tcPr>
            <w:tcW w:w="1975" w:type="dxa"/>
          </w:tcPr>
          <w:p w:rsidR="00EB15BF" w:rsidRPr="00FE7024" w:rsidRDefault="00EB15BF" w:rsidP="00EB15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B15BF" w:rsidRPr="00FE7024" w:rsidRDefault="00EB15BF" w:rsidP="00EB15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سینما،تلوزیون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ویدئو</w:t>
            </w:r>
          </w:p>
        </w:tc>
        <w:tc>
          <w:tcPr>
            <w:tcW w:w="1078" w:type="dxa"/>
          </w:tcPr>
          <w:p w:rsidR="00EB15BF" w:rsidRPr="00E32E53" w:rsidRDefault="00EB15BF" w:rsidP="00EB15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B15BF" w:rsidTr="00FE7024">
        <w:trPr>
          <w:trHeight w:val="233"/>
          <w:jc w:val="center"/>
        </w:trPr>
        <w:tc>
          <w:tcPr>
            <w:tcW w:w="1975" w:type="dxa"/>
          </w:tcPr>
          <w:p w:rsidR="00EB15BF" w:rsidRPr="00FE7024" w:rsidRDefault="00EB15BF" w:rsidP="00EB15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B15BF" w:rsidRPr="00FE7024" w:rsidRDefault="00EB15BF" w:rsidP="00EB15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هنر مفهومی، هنر چیدمان، هنر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پرفورمنس</w:t>
            </w:r>
            <w:proofErr w:type="spellEnd"/>
          </w:p>
        </w:tc>
        <w:tc>
          <w:tcPr>
            <w:tcW w:w="1078" w:type="dxa"/>
          </w:tcPr>
          <w:p w:rsidR="00EB15BF" w:rsidRPr="00E32E53" w:rsidRDefault="00EB15BF" w:rsidP="00EB15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B15BF" w:rsidTr="00FE7024">
        <w:trPr>
          <w:trHeight w:val="71"/>
          <w:jc w:val="center"/>
        </w:trPr>
        <w:tc>
          <w:tcPr>
            <w:tcW w:w="1975" w:type="dxa"/>
          </w:tcPr>
          <w:p w:rsidR="00EB15BF" w:rsidRPr="00FE7024" w:rsidRDefault="00EB15BF" w:rsidP="00EB15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B15BF" w:rsidRPr="00FE7024" w:rsidRDefault="00EB15BF" w:rsidP="00EB15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و نمایش آثار هنرمندان</w:t>
            </w:r>
          </w:p>
        </w:tc>
        <w:tc>
          <w:tcPr>
            <w:tcW w:w="1078" w:type="dxa"/>
          </w:tcPr>
          <w:p w:rsidR="00EB15BF" w:rsidRPr="00E32E53" w:rsidRDefault="00EB15BF" w:rsidP="00EB15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B15BF" w:rsidTr="00FE7024">
        <w:trPr>
          <w:trHeight w:val="269"/>
          <w:jc w:val="center"/>
        </w:trPr>
        <w:tc>
          <w:tcPr>
            <w:tcW w:w="1975" w:type="dxa"/>
          </w:tcPr>
          <w:p w:rsidR="00EB15BF" w:rsidRPr="00FE7024" w:rsidRDefault="00EB15BF" w:rsidP="00EB15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B15BF" w:rsidRPr="00FE7024" w:rsidRDefault="00EB15BF" w:rsidP="00EB15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چگونگی ایده پردازی برای هنر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چندرسانه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ای</w:t>
            </w:r>
          </w:p>
        </w:tc>
        <w:tc>
          <w:tcPr>
            <w:tcW w:w="1078" w:type="dxa"/>
          </w:tcPr>
          <w:p w:rsidR="00EB15BF" w:rsidRPr="00E32E53" w:rsidRDefault="00EB15BF" w:rsidP="00EB15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B15BF" w:rsidTr="00FE7024">
        <w:trPr>
          <w:trHeight w:val="197"/>
          <w:jc w:val="center"/>
        </w:trPr>
        <w:tc>
          <w:tcPr>
            <w:tcW w:w="1975" w:type="dxa"/>
          </w:tcPr>
          <w:p w:rsidR="00EB15BF" w:rsidRPr="00FE7024" w:rsidRDefault="00EB15BF" w:rsidP="00EB15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B15BF" w:rsidRPr="00FE7024" w:rsidRDefault="00EB15BF" w:rsidP="00EB15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 بررسی ایده های دانشجویان</w:t>
            </w:r>
          </w:p>
        </w:tc>
        <w:tc>
          <w:tcPr>
            <w:tcW w:w="1078" w:type="dxa"/>
          </w:tcPr>
          <w:p w:rsidR="00EB15BF" w:rsidRPr="00E32E53" w:rsidRDefault="00EB15BF" w:rsidP="00EB15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EB15BF" w:rsidTr="00FE7024">
        <w:trPr>
          <w:trHeight w:val="206"/>
          <w:jc w:val="center"/>
        </w:trPr>
        <w:tc>
          <w:tcPr>
            <w:tcW w:w="1975" w:type="dxa"/>
          </w:tcPr>
          <w:p w:rsidR="00EB15BF" w:rsidRPr="00FE7024" w:rsidRDefault="00EB15BF" w:rsidP="00EB15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B15BF" w:rsidRPr="00FE7024" w:rsidRDefault="00EB15BF" w:rsidP="00EB15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 عملی دانشجویان در قالب یکی از گرایش ها</w:t>
            </w:r>
          </w:p>
        </w:tc>
        <w:tc>
          <w:tcPr>
            <w:tcW w:w="1078" w:type="dxa"/>
          </w:tcPr>
          <w:p w:rsidR="00EB15BF" w:rsidRPr="00E32E53" w:rsidRDefault="00EB15BF" w:rsidP="00EB15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EEF" w:rsidRDefault="00492EEF" w:rsidP="0007479E">
      <w:pPr>
        <w:spacing w:after="0" w:line="240" w:lineRule="auto"/>
      </w:pPr>
      <w:r>
        <w:separator/>
      </w:r>
    </w:p>
  </w:endnote>
  <w:endnote w:type="continuationSeparator" w:id="0">
    <w:p w:rsidR="00492EEF" w:rsidRDefault="00492EE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Calibri"/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E0002AFF" w:usb1="C0007843" w:usb2="00000009" w:usb3="00000000" w:csb0="0000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20B0604020202020204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EEF" w:rsidRDefault="00492EEF" w:rsidP="0007479E">
      <w:pPr>
        <w:spacing w:after="0" w:line="240" w:lineRule="auto"/>
      </w:pPr>
      <w:r>
        <w:separator/>
      </w:r>
    </w:p>
  </w:footnote>
  <w:footnote w:type="continuationSeparator" w:id="0">
    <w:p w:rsidR="00492EEF" w:rsidRDefault="00492EEF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2717F"/>
    <w:rsid w:val="00043444"/>
    <w:rsid w:val="00047D53"/>
    <w:rsid w:val="0007479E"/>
    <w:rsid w:val="001A24D7"/>
    <w:rsid w:val="0020468E"/>
    <w:rsid w:val="0023366D"/>
    <w:rsid w:val="002B4F7E"/>
    <w:rsid w:val="002C2F2A"/>
    <w:rsid w:val="002F2F5B"/>
    <w:rsid w:val="00321206"/>
    <w:rsid w:val="003D23C3"/>
    <w:rsid w:val="00492EEF"/>
    <w:rsid w:val="004B094A"/>
    <w:rsid w:val="004C0E17"/>
    <w:rsid w:val="00546116"/>
    <w:rsid w:val="005908E6"/>
    <w:rsid w:val="00592AF6"/>
    <w:rsid w:val="005A142D"/>
    <w:rsid w:val="005B71F9"/>
    <w:rsid w:val="005F33D5"/>
    <w:rsid w:val="00610ECF"/>
    <w:rsid w:val="006261B7"/>
    <w:rsid w:val="0062735E"/>
    <w:rsid w:val="00660152"/>
    <w:rsid w:val="006B0268"/>
    <w:rsid w:val="006B3CAE"/>
    <w:rsid w:val="006C3E90"/>
    <w:rsid w:val="007305C2"/>
    <w:rsid w:val="007367C0"/>
    <w:rsid w:val="00743C43"/>
    <w:rsid w:val="00786D2C"/>
    <w:rsid w:val="007A6B1B"/>
    <w:rsid w:val="007F53B7"/>
    <w:rsid w:val="00852A62"/>
    <w:rsid w:val="00891C14"/>
    <w:rsid w:val="008A52A1"/>
    <w:rsid w:val="008D2DEA"/>
    <w:rsid w:val="00942FA9"/>
    <w:rsid w:val="009E24E7"/>
    <w:rsid w:val="00A14193"/>
    <w:rsid w:val="00B1335E"/>
    <w:rsid w:val="00B2017C"/>
    <w:rsid w:val="00B25695"/>
    <w:rsid w:val="00B326E1"/>
    <w:rsid w:val="00B97D71"/>
    <w:rsid w:val="00BA4CCA"/>
    <w:rsid w:val="00BE73D7"/>
    <w:rsid w:val="00C01DBC"/>
    <w:rsid w:val="00C1549F"/>
    <w:rsid w:val="00C84F12"/>
    <w:rsid w:val="00C933C6"/>
    <w:rsid w:val="00D13E1F"/>
    <w:rsid w:val="00E00030"/>
    <w:rsid w:val="00E13C35"/>
    <w:rsid w:val="00E31D17"/>
    <w:rsid w:val="00E32E53"/>
    <w:rsid w:val="00EB15B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EC9F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mahnaz_53@yahoo.com</cp:lastModifiedBy>
  <cp:revision>31</cp:revision>
  <cp:lastPrinted>2018-12-27T12:18:00Z</cp:lastPrinted>
  <dcterms:created xsi:type="dcterms:W3CDTF">2020-02-27T18:37:00Z</dcterms:created>
  <dcterms:modified xsi:type="dcterms:W3CDTF">2020-02-29T14:23:00Z</dcterms:modified>
</cp:coreProperties>
</file>